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F4B00">
      <w:pPr>
        <w:spacing w:before="0" w:after="200" w:line="560" w:lineRule="exact"/>
        <w:jc w:val="center"/>
      </w:pPr>
      <w:r>
        <w:rPr>
          <w:rFonts w:ascii="Times New Roman" w:hAnsi="Times New Roman" w:eastAsia="黑体"/>
          <w:b/>
          <w:sz w:val="36"/>
        </w:rPr>
        <w:t>关于《天津市“博物馆之城”建设前期策划建议》</w:t>
      </w:r>
    </w:p>
    <w:p w14:paraId="2B2CDE86">
      <w:pPr>
        <w:spacing w:before="0" w:after="200" w:line="560" w:lineRule="exact"/>
        <w:jc w:val="center"/>
      </w:pPr>
      <w:r>
        <w:rPr>
          <w:rFonts w:ascii="Times New Roman" w:hAnsi="Times New Roman" w:eastAsia="黑体"/>
          <w:b/>
          <w:sz w:val="36"/>
        </w:rPr>
        <w:t>办理情况的确认暨补充材料函</w:t>
      </w:r>
    </w:p>
    <w:p w14:paraId="03ACFFF5">
      <w:pPr>
        <w:spacing w:before="0" w:after="0" w:line="440" w:lineRule="exact"/>
      </w:pPr>
      <w:r>
        <w:rPr>
          <w:rFonts w:ascii="Times New Roman" w:hAnsi="Times New Roman" w:eastAsia="仿宋"/>
          <w:b w:val="0"/>
          <w:sz w:val="24"/>
        </w:rPr>
        <w:t>天津市文化和旅游局：</w:t>
      </w:r>
    </w:p>
    <w:p w14:paraId="55444271">
      <w:pPr>
        <w:spacing w:before="0" w:after="1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2026年9月2日，本人通过“政民零距离”平台提交《关于报送天津市“博物馆之城”建设策划建议》（</w:t>
      </w:r>
      <w:r>
        <w:rPr>
          <w:rFonts w:hint="eastAsia" w:ascii="Times New Roman" w:hAnsi="Times New Roman"/>
          <w:b w:val="0"/>
          <w:sz w:val="24"/>
          <w:lang w:val="en-US" w:eastAsia="zh-CN"/>
        </w:rPr>
        <w:t>留言编号：</w:t>
      </w:r>
      <w:r>
        <w:rPr>
          <w:rFonts w:hint="eastAsia" w:ascii="Times New Roman" w:hAnsi="Times New Roman" w:eastAsia="仿宋"/>
          <w:b w:val="0"/>
          <w:sz w:val="24"/>
        </w:rPr>
        <w:t>4750195</w:t>
      </w:r>
      <w:r>
        <w:rPr>
          <w:rFonts w:ascii="Times New Roman" w:hAnsi="Times New Roman" w:eastAsia="仿宋"/>
          <w:b w:val="0"/>
          <w:sz w:val="24"/>
        </w:rPr>
        <w:t>），随附前期策划成果11份、配套专项4份。9月3日14时50分，贵局来电告知办理情况，介绍了贵局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十四五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时期有关工作进展与规划，并就本建议的研阅与转办意见作了说明。本人深受鼓舞，谨致谢忱。</w:t>
      </w:r>
    </w:p>
    <w:p w14:paraId="7C500A76">
      <w:pPr>
        <w:spacing w:before="0" w:after="20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现就电话沟通所涉事项作书面确认，并补充两项材料，供贵局及转办部门参阅。</w:t>
      </w:r>
    </w:p>
    <w:p w14:paraId="08D23010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/>
          <w:sz w:val="24"/>
        </w:rPr>
        <w:t>一、确认事项</w:t>
      </w:r>
    </w:p>
    <w:p w14:paraId="6762997F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经电话沟通，本人理解并确认以下事项：</w:t>
      </w:r>
    </w:p>
    <w:p w14:paraId="50545385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（一）本建议已由贵局办公室按标题转至博物馆处研阅。</w:t>
      </w:r>
    </w:p>
    <w:p w14:paraId="5457D36C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（二）因本建议涉及部门较多，非单一处室职权所及，贵局</w:t>
      </w:r>
      <w:r>
        <w:rPr>
          <w:rFonts w:hint="eastAsia" w:ascii="Times New Roman" w:hAnsi="Times New Roman" w:eastAsia="仿宋"/>
          <w:b w:val="0"/>
          <w:sz w:val="24"/>
        </w:rPr>
        <w:t>博物馆与社会文物处</w:t>
      </w:r>
      <w:r>
        <w:rPr>
          <w:rFonts w:ascii="Times New Roman" w:hAnsi="Times New Roman" w:eastAsia="仿宋"/>
          <w:b w:val="0"/>
          <w:sz w:val="24"/>
        </w:rPr>
        <w:t>将请示办公室，将本件转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十五五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规划</w:t>
      </w:r>
      <w:r>
        <w:rPr>
          <w:rFonts w:hint="eastAsia" w:ascii="Times New Roman" w:hAnsi="Times New Roman"/>
          <w:b w:val="0"/>
          <w:sz w:val="24"/>
          <w:lang w:val="en-US" w:eastAsia="zh-CN"/>
        </w:rPr>
        <w:t>部门</w:t>
      </w:r>
      <w:r>
        <w:rPr>
          <w:rFonts w:ascii="Times New Roman" w:hAnsi="Times New Roman" w:eastAsia="仿宋"/>
          <w:b w:val="0"/>
          <w:sz w:val="24"/>
        </w:rPr>
        <w:t>，请其一并研究。</w:t>
      </w:r>
    </w:p>
    <w:p w14:paraId="5B60AFEC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（三）博物馆处表示，将在下一步工作中，对本建议中及时可行的内容予以采纳。</w:t>
      </w:r>
    </w:p>
    <w:p w14:paraId="313A6F9D">
      <w:pPr>
        <w:spacing w:before="0" w:after="20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（四）本建议属市民建言性质，非立项报批文件，无需贵局作出办理承诺或书面答复。</w:t>
      </w:r>
    </w:p>
    <w:p w14:paraId="3658DDA5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/>
          <w:sz w:val="24"/>
        </w:rPr>
        <w:t>二、补充材料</w:t>
      </w:r>
    </w:p>
    <w:p w14:paraId="04AE9110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针对电话中提及的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涉及部门比较多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这一问题，本人补充以下两项材料：</w:t>
      </w:r>
    </w:p>
    <w:p w14:paraId="4CAA52A4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（一）《天津市“博物馆之城”建设部门职责分工建议表》（TJ-BWG-CG-2026-</w:t>
      </w:r>
      <w:r>
        <w:rPr>
          <w:rFonts w:hint="eastAsia" w:ascii="Times New Roman" w:hAnsi="Times New Roman"/>
          <w:b w:val="0"/>
          <w:sz w:val="24"/>
          <w:lang w:val="en-US" w:eastAsia="zh-CN"/>
        </w:rPr>
        <w:t>补</w:t>
      </w:r>
      <w:r>
        <w:rPr>
          <w:rFonts w:ascii="Times New Roman" w:hAnsi="Times New Roman" w:eastAsia="仿宋"/>
          <w:b w:val="0"/>
          <w:sz w:val="24"/>
        </w:rPr>
        <w:t>0</w:t>
      </w:r>
      <w:r>
        <w:rPr>
          <w:rFonts w:hint="eastAsia" w:ascii="Times New Roman" w:hAnsi="Times New Roman"/>
          <w:b w:val="0"/>
          <w:sz w:val="24"/>
          <w:lang w:val="en-US" w:eastAsia="zh-CN"/>
        </w:rPr>
        <w:t>1</w:t>
      </w:r>
      <w:r>
        <w:rPr>
          <w:rFonts w:ascii="Times New Roman" w:hAnsi="Times New Roman" w:eastAsia="仿宋"/>
          <w:b w:val="0"/>
          <w:sz w:val="24"/>
        </w:rPr>
        <w:t>）。该表就涉及的市级部门事权提出牵头与配合建议，并依据 TJ-BWG-CG-2026-09《开发节奏规划》第十三章所载38个试点责任主体分工底表，归纳出试点属性与归口部门的对应关系，供转办时参考。</w:t>
      </w:r>
    </w:p>
    <w:p w14:paraId="3E4E0026">
      <w:pPr>
        <w:spacing w:before="0" w:after="20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（二）</w:t>
      </w:r>
      <w:r>
        <w:rPr>
          <w:rFonts w:hint="eastAsia" w:ascii="Times New Roman" w:hAnsi="Times New Roman"/>
          <w:b w:val="0"/>
          <w:sz w:val="24"/>
          <w:lang w:val="en-US" w:eastAsia="zh-CN"/>
        </w:rPr>
        <w:t>相关研究</w:t>
      </w:r>
      <w:r>
        <w:rPr>
          <w:rFonts w:ascii="Times New Roman" w:hAnsi="Times New Roman" w:eastAsia="仿宋"/>
          <w:b w:val="0"/>
          <w:sz w:val="24"/>
        </w:rPr>
        <w:t>《载体化视角下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博物馆之城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承接天津八种文化形态的路径研究》</w:t>
      </w:r>
      <w:r>
        <w:rPr>
          <w:rFonts w:hint="eastAsia" w:ascii="Times New Roman" w:hAnsi="Times New Roman"/>
          <w:b w:val="0"/>
          <w:sz w:val="24"/>
          <w:lang w:val="en-US" w:eastAsia="zh-CN"/>
        </w:rPr>
        <w:t>初稿</w:t>
      </w:r>
      <w:r>
        <w:rPr>
          <w:rFonts w:ascii="Times New Roman" w:hAnsi="Times New Roman" w:eastAsia="仿宋"/>
          <w:b w:val="0"/>
          <w:sz w:val="24"/>
        </w:rPr>
        <w:t>一篇。本文</w:t>
      </w:r>
      <w:r>
        <w:rPr>
          <w:rFonts w:hint="eastAsia" w:ascii="Times New Roman" w:hAnsi="Times New Roman"/>
          <w:b w:val="0"/>
          <w:sz w:val="24"/>
          <w:lang w:val="en-US" w:eastAsia="zh-CN"/>
        </w:rPr>
        <w:t>为</w:t>
      </w:r>
      <w:bookmarkStart w:id="0" w:name="_GoBack"/>
      <w:bookmarkEnd w:id="0"/>
      <w:r>
        <w:rPr>
          <w:rFonts w:ascii="Times New Roman" w:hAnsi="Times New Roman" w:eastAsia="仿宋"/>
          <w:b w:val="0"/>
          <w:sz w:val="24"/>
        </w:rPr>
        <w:t>回应市委宣传部关于八种文化形态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主要是考虑便于载体化、项目化地推动传承发展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的研究命题，从国际博物馆协会（ICOM）博物馆定义的演进切入，论证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博物馆之城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作为统摄性载体的适配性，并提出四级载体体系与两级法律属性的分层设计。该文</w:t>
      </w:r>
      <w:r>
        <w:rPr>
          <w:rFonts w:hint="eastAsia" w:ascii="Times New Roman" w:hAnsi="Times New Roman"/>
          <w:b w:val="0"/>
          <w:sz w:val="24"/>
          <w:lang w:val="en-US" w:eastAsia="zh-CN"/>
        </w:rPr>
        <w:t>后续预</w:t>
      </w:r>
      <w:r>
        <w:rPr>
          <w:rFonts w:ascii="Times New Roman" w:hAnsi="Times New Roman" w:eastAsia="仿宋"/>
          <w:b w:val="0"/>
          <w:sz w:val="24"/>
        </w:rPr>
        <w:t>投《津派文化研究》集刊，现一并报送供参阅。</w:t>
      </w:r>
    </w:p>
    <w:p w14:paraId="3EE1F8C5">
      <w:pPr>
        <w:spacing w:before="0" w:after="80" w:line="440" w:lineRule="exact"/>
        <w:ind w:firstLine="480"/>
      </w:pPr>
      <w:r>
        <w:rPr>
          <w:rFonts w:ascii="Times New Roman" w:hAnsi="Times New Roman" w:eastAsia="仿宋"/>
          <w:b/>
          <w:sz w:val="24"/>
        </w:rPr>
        <w:t>三、有关说明</w:t>
      </w:r>
    </w:p>
    <w:p w14:paraId="7EBDEF47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（一）本人为独立研究者，非机构代表，此次建言系个人行为。</w:t>
      </w:r>
    </w:p>
    <w:p w14:paraId="592A8893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二）文中投资测算（近期试点约5.3亿—12.8亿元、单方造价约12000元/平方米、财务内部收益率约3.10%、净现值约-0.75亿元、回收期约9年）为参数化模拟口径，1000份问卷为本人自行组织的抽样调查，均非官方统计，不构成立项依据。实际推进须以建筑测绘面积、分项造价咨询与更大样本量调查的核定结果为准。</w:t>
      </w:r>
    </w:p>
    <w:p w14:paraId="290DB984">
      <w:pPr>
        <w:spacing w:before="0" w:after="6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（三）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博物馆之城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目前在本市法定规划中尚无专章表述，系本人为落实市委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十五五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建议第34条</w:t>
      </w:r>
      <w:r>
        <w:rPr>
          <w:rFonts w:hint="eastAsia" w:ascii="Times New Roman" w:hAnsi="Times New Roman"/>
          <w:b w:val="0"/>
          <w:sz w:val="24"/>
          <w:lang w:eastAsia="zh-CN"/>
        </w:rPr>
        <w:t>“</w:t>
      </w:r>
      <w:r>
        <w:rPr>
          <w:rFonts w:ascii="Times New Roman" w:hAnsi="Times New Roman" w:eastAsia="仿宋"/>
          <w:b w:val="0"/>
          <w:sz w:val="24"/>
        </w:rPr>
        <w:t>完善博物馆体系</w:t>
      </w:r>
      <w:r>
        <w:rPr>
          <w:rFonts w:hint="eastAsia" w:ascii="Times New Roman" w:hAnsi="Times New Roman"/>
          <w:b w:val="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sz w:val="24"/>
        </w:rPr>
        <w:t>要求而提出的城市级实施概念，供研究讨论，非既定政策的阐释。</w:t>
      </w:r>
    </w:p>
    <w:p w14:paraId="21EDDBD3">
      <w:pPr>
        <w:spacing w:before="0" w:after="20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（四）如贵局或转办部门在研究过程中需要补充数据、测算底稿、原始问卷或现场说明，本人可随时配合，亦愿就任一专题作专题汇报。</w:t>
      </w:r>
    </w:p>
    <w:p w14:paraId="63EBFE0F">
      <w:pPr>
        <w:spacing w:before="0" w:after="240" w:line="440" w:lineRule="exact"/>
        <w:ind w:firstLine="480"/>
      </w:pPr>
      <w:r>
        <w:rPr>
          <w:rFonts w:ascii="Times New Roman" w:hAnsi="Times New Roman" w:eastAsia="仿宋"/>
          <w:b w:val="0"/>
          <w:sz w:val="24"/>
        </w:rPr>
        <w:t>再次感谢贵局对本人建言的重视与对文博事业的投入。疏漏之处，恳请指正。</w:t>
      </w:r>
    </w:p>
    <w:p w14:paraId="67CFBA16">
      <w:pPr>
        <w:spacing w:before="0" w:after="120" w:line="440" w:lineRule="exact"/>
      </w:pPr>
    </w:p>
    <w:p w14:paraId="6813B47D">
      <w:pPr>
        <w:spacing w:before="0" w:after="60" w:line="440" w:lineRule="exact"/>
        <w:jc w:val="right"/>
      </w:pPr>
      <w:r>
        <w:rPr>
          <w:rFonts w:ascii="Times New Roman" w:hAnsi="Times New Roman" w:eastAsia="仿宋"/>
          <w:b w:val="0"/>
          <w:sz w:val="24"/>
        </w:rPr>
        <w:t>报送人：李浩然</w:t>
      </w:r>
    </w:p>
    <w:p w14:paraId="132B1A2E">
      <w:pPr>
        <w:spacing w:before="0" w:after="60" w:line="440" w:lineRule="exact"/>
        <w:jc w:val="right"/>
      </w:pPr>
      <w:r>
        <w:rPr>
          <w:rFonts w:ascii="Times New Roman" w:hAnsi="Times New Roman" w:eastAsia="仿宋"/>
          <w:b w:val="0"/>
          <w:sz w:val="24"/>
        </w:rPr>
        <w:t>联系电话：15522884286</w:t>
      </w:r>
    </w:p>
    <w:p w14:paraId="7B764B5E">
      <w:pPr>
        <w:spacing w:before="0" w:after="60" w:line="440" w:lineRule="exact"/>
        <w:jc w:val="right"/>
      </w:pPr>
      <w:r>
        <w:rPr>
          <w:rFonts w:ascii="Times New Roman" w:hAnsi="Times New Roman" w:eastAsia="仿宋"/>
          <w:b w:val="0"/>
          <w:sz w:val="24"/>
        </w:rPr>
        <w:t>电子邮箱：943962229@qq.com</w:t>
      </w:r>
    </w:p>
    <w:p w14:paraId="68A7A7F6">
      <w:pPr>
        <w:spacing w:before="0" w:after="160" w:line="440" w:lineRule="exact"/>
        <w:jc w:val="right"/>
      </w:pPr>
      <w:r>
        <w:rPr>
          <w:rFonts w:ascii="Times New Roman" w:hAnsi="Times New Roman" w:eastAsia="仿宋"/>
          <w:b w:val="0"/>
          <w:sz w:val="24"/>
        </w:rPr>
        <w:t>2026年9月3日</w:t>
      </w:r>
    </w:p>
    <w:p w14:paraId="0A845A23">
      <w:pPr>
        <w:spacing w:before="0" w:after="80" w:line="440" w:lineRule="exact"/>
      </w:pPr>
    </w:p>
    <w:p w14:paraId="41C06BF8">
      <w:pPr>
        <w:spacing w:before="0" w:after="40" w:line="440" w:lineRule="exact"/>
      </w:pPr>
      <w:r>
        <w:rPr>
          <w:rFonts w:ascii="Times New Roman" w:hAnsi="Times New Roman" w:eastAsia="仿宋"/>
          <w:b w:val="0"/>
          <w:sz w:val="22"/>
        </w:rPr>
        <w:t>附件：1.《天津市</w:t>
      </w:r>
      <w:r>
        <w:rPr>
          <w:rFonts w:hint="eastAsia" w:ascii="Times New Roman" w:hAnsi="Times New Roman"/>
          <w:b w:val="0"/>
          <w:sz w:val="22"/>
          <w:lang w:eastAsia="zh-CN"/>
        </w:rPr>
        <w:t>“</w:t>
      </w:r>
      <w:r>
        <w:rPr>
          <w:rFonts w:ascii="Times New Roman" w:hAnsi="Times New Roman" w:eastAsia="仿宋"/>
          <w:b w:val="0"/>
          <w:sz w:val="22"/>
        </w:rPr>
        <w:t>博物馆之城</w:t>
      </w:r>
      <w:r>
        <w:rPr>
          <w:rFonts w:hint="eastAsia" w:ascii="Times New Roman" w:hAnsi="Times New Roman"/>
          <w:b w:val="0"/>
          <w:sz w:val="22"/>
          <w:lang w:eastAsia="zh-CN"/>
        </w:rPr>
        <w:t>”</w:t>
      </w:r>
      <w:r>
        <w:rPr>
          <w:rFonts w:ascii="Times New Roman" w:hAnsi="Times New Roman" w:eastAsia="仿宋"/>
          <w:b w:val="0"/>
          <w:sz w:val="22"/>
        </w:rPr>
        <w:t>建设部门职责分工建议表》（TJ-BWG-CG-2026-</w:t>
      </w:r>
      <w:r>
        <w:rPr>
          <w:rFonts w:hint="eastAsia" w:ascii="Times New Roman" w:hAnsi="Times New Roman"/>
          <w:b w:val="0"/>
          <w:sz w:val="22"/>
          <w:lang w:val="en-US" w:eastAsia="zh-CN"/>
        </w:rPr>
        <w:t>补</w:t>
      </w:r>
      <w:r>
        <w:rPr>
          <w:rFonts w:ascii="Times New Roman" w:hAnsi="Times New Roman" w:eastAsia="仿宋"/>
          <w:b w:val="0"/>
          <w:sz w:val="22"/>
        </w:rPr>
        <w:t>0</w:t>
      </w:r>
      <w:r>
        <w:rPr>
          <w:rFonts w:hint="eastAsia" w:ascii="Times New Roman" w:hAnsi="Times New Roman"/>
          <w:b w:val="0"/>
          <w:sz w:val="22"/>
          <w:lang w:val="en-US" w:eastAsia="zh-CN"/>
        </w:rPr>
        <w:t>1</w:t>
      </w:r>
      <w:r>
        <w:rPr>
          <w:rFonts w:ascii="Times New Roman" w:hAnsi="Times New Roman" w:eastAsia="仿宋"/>
          <w:b w:val="0"/>
          <w:sz w:val="22"/>
        </w:rPr>
        <w:t>）</w:t>
      </w:r>
    </w:p>
    <w:p w14:paraId="564882FA">
      <w:pPr>
        <w:spacing w:before="0" w:after="0" w:line="440" w:lineRule="exact"/>
      </w:pPr>
      <w:r>
        <w:rPr>
          <w:rFonts w:ascii="Times New Roman" w:hAnsi="Times New Roman" w:eastAsia="仿宋"/>
          <w:b w:val="0"/>
          <w:sz w:val="22"/>
        </w:rPr>
        <w:t xml:space="preserve">      2.《载体化视角下</w:t>
      </w:r>
      <w:r>
        <w:rPr>
          <w:rFonts w:hint="eastAsia" w:ascii="Times New Roman" w:hAnsi="Times New Roman"/>
          <w:b w:val="0"/>
          <w:sz w:val="22"/>
          <w:lang w:eastAsia="zh-CN"/>
        </w:rPr>
        <w:t>“</w:t>
      </w:r>
      <w:r>
        <w:rPr>
          <w:rFonts w:ascii="Times New Roman" w:hAnsi="Times New Roman" w:eastAsia="仿宋"/>
          <w:b w:val="0"/>
          <w:sz w:val="22"/>
        </w:rPr>
        <w:t>博物馆之城</w:t>
      </w:r>
      <w:r>
        <w:rPr>
          <w:rFonts w:hint="eastAsia" w:ascii="Times New Roman" w:hAnsi="Times New Roman"/>
          <w:b w:val="0"/>
          <w:sz w:val="22"/>
          <w:lang w:eastAsia="zh-CN"/>
        </w:rPr>
        <w:t>”</w:t>
      </w:r>
      <w:r>
        <w:rPr>
          <w:rFonts w:ascii="Times New Roman" w:hAnsi="Times New Roman" w:eastAsia="仿宋"/>
          <w:b w:val="0"/>
          <w:sz w:val="22"/>
        </w:rPr>
        <w:t>承接天津八种文化形态的路径研究》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Kozuka Mincho Pr6N R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A0ACC"/>
    <w:rsid w:val="032064E7"/>
    <w:rsid w:val="04F87217"/>
    <w:rsid w:val="2DB80F46"/>
    <w:rsid w:val="38E5105E"/>
    <w:rsid w:val="42A94EAA"/>
    <w:rsid w:val="52436278"/>
    <w:rsid w:val="57F86260"/>
    <w:rsid w:val="589324AE"/>
    <w:rsid w:val="5FF83899"/>
    <w:rsid w:val="6FFE345A"/>
    <w:rsid w:val="774A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1178</Words>
  <Characters>1292</Characters>
  <Lines>0</Lines>
  <Paragraphs>0</Paragraphs>
  <TotalTime>9</TotalTime>
  <ScaleCrop>false</ScaleCrop>
  <LinksUpToDate>false</LinksUpToDate>
  <CharactersWithSpaces>1299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李浩然</dc:creator>
  <dc:description>generated by python-docx</dc:description>
  <cp:lastModifiedBy>柏拉图的谎言</cp:lastModifiedBy>
  <dcterms:modified xsi:type="dcterms:W3CDTF">2026-09-04T02:37:22Z</dcterms:modified>
  <dc:subject>致天津市文化和旅游局</dc:subject>
  <dc:title>关于《天津市“博物馆之城”建设前期策划建议》办理情况的确认暨补充材料函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eyJoZGlkIjoiZDk5OTg5NzFlYTBiZGY0MTMyNTEwMDQ3OTNjZDdkZDYiLCJ1c2VySWQiOiIyNjU0NjMzOTgifQ==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618EA94BE6754C5FA46C0C6575D2C05B_12</vt:lpwstr>
  </property>
</Properties>
</file>