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天津市审计局：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报案人杨红芹，身份证号120222197409300649，报案人郭岳华，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身份证号120103197403183811，共同向公安机关报案，举报天津天津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仁恒典当有限公司、天津华泽小额贷款有限公司非法实施套路贷并对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我们进行金融诈骗犯罪行为。请公安机关严厉查处。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被套路的经过是这样的，2017年底，杨红芹因公司经营急需资金，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当时找朋友路志强帮忙，路志强经朋友介绍，于2017年10月24日与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杨红芹一起到天津仁恒典当有限公司（天津市南开区城厢中路盛津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园9-3）商谈借贷业务，当时与路志强和杨红芹面谈借贷业务的是微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 xml:space="preserve">信名大齐（微信号LIQI 13602101689) 电话13212223333的天津仁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恒典当有限公司工作人员，其介绍他从业的天津仁恒典当有限公司是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一家专业从事借贷的公司，实力雄厚、拥有大量的资金。跟银行比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借贷流程简化，手续便捷，放款快！听了他的介绍路志强和杨红芹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当时就心动了，并决定在他家借钱。双方商定借款100万元，借款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期限三个月，当即签署合同。天津仁恒典当有限公司工作人员拿出大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量文件并催促路志强签署，在路志强签署文件时，有意阻拦路志强查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看文件内容，只是让路志强在其指定位置和空白纸上签名，签署完毕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后并未给路志强和杨红芹任何书面文件及合同。转天2017年10月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25日上午路志强与天津仁恒典当有限公司工作人员一起到河北区房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管局进行抵押，并于当天下午到北方公证处公证。在公证时所进行公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证的文件全部由天津仁恒典当有限公司工作人员掌管，并未给路志强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机会查看公证的内容。公证完，天津仁恒典当有限公司工作人员当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即扣留了路志强的身份证和房本（抵押房屋地址：天津市河北区东华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里3-9-601-604，房屋产权人：路志强），后天津仁恒典当有限公司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拨款给路志强100万。路志强随即给杨红芹转账，并要求杨红芹按照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天津仁恒典当有限公司工作人员的要求支付利息25000元，随后杨红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芹转账给天津仁恒典当有限公司工作人员指定的收款人尹傲蓓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 xml:space="preserve">25000元利息。    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以下是大概转账记录（明细附后）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2017年10月至2020年5月付利息每月25000元，收款人是尹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傲蓓，收款账号：兴业银行622908446529709312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2020年6月至2020年8月付利息每月25000元，收款人是许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莉，收款账号：农业银行：6228480028891039670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2017年10月至2020年8月实际付利息35个月合计还款87.5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万元。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2020年9月路志强通知杨红芹，天津仁恒典当有限公司要求以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后每月的利息必须由路志强亲自转账给天津仁恒典当有限公司指定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收款人。所以从2020年10月开始杨红芹将每月的利息用微信先转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给路志强再由路志强转账给天津仁恒典当有限公司指定联系人许莉。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2020年10月至2021年1月29日付利息每月20000元，先由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杨红芹用微信转账给路志强再由路志强转账给收款人许莉，收款账号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：农业银行：6228480028891039670。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2020年10月至2021年1月实际付利息4个月合计还款8万元，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2017年10月至2021年1月总计付利息95.5万元。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auto"/>
          <w:position w:val="0"/>
          <w:sz w:val="28"/>
          <w:szCs w:val="28"/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2017年10月至今变更了两次收款人，为什么是自然人的账户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不是天津仁恒典当有限公司的法人账户当时也没多想，而且疫情期间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无任何展期政策，一直在催收。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auto"/>
          <w:position w:val="0"/>
          <w:sz w:val="28"/>
          <w:szCs w:val="28"/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今年春节期间朋友聚会，在闲聊中杨红芹才发现被套路贷。经过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多方咨询和调查，确定以下事实：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2017年10月24日借款合同的签署地天津仁恒典当有限公司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（天津市南开区城厢中路盛津园9-3），2017年10月25日到河北区房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管局进抵押的主体又莫名其妙变成了天津华泽小额贷款有限公司！到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现在杨红芹也不知道华泽小贷是谁？华泽小贷在哪？并且将房屋180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万价值抵押实际借款100万？（后附房产证照片）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112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综上所述，总结以下如何被套路。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套路一：借款合同签署地是天津仁恒典当有限公司，房管局抵押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的权利人是天津华泽小额贷款有限公司，每月收利息的是个人（自然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人）。这一系列操作都是在恶意隐瞒路志强和杨红芹的情况下进行的；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auto"/>
          <w:position w:val="0"/>
          <w:sz w:val="28"/>
          <w:szCs w:val="28"/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套路二：在签署借款合同时，天津仁恒典当有限公司工作人员故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意催促路志强和杨红芹，使得二人没有时间查看合同内容。天津仁恒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典当有限公司工作人员更没有明示合同中会有第三方或第四方的存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在。并且天津仁恒典当有限公司工作人员在签署合同时以各种理由，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 xml:space="preserve">让路志强在不知用途的情况下，在空白纸上签字； 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套路三：2017年10月25日先到房管局进房屋抵押，然后又去公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证处做公证。究竟抵押时的合同和公证时的合同是不是一样的合同？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如果不一样他们又将在什么情况下拿出那一份合同？；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套路四：天津仁恒典当有限公司工作人员在合同签署完成后，将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合同及其它相关签署文件全部拿走。这就是刻意隐瞒合同内容，不给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路志强和杨红芹任何事后研究、咨询他人和反悔申诉的机会；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套路五：拨完款后，立即巧立名目向杨红芹索要砍头息；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套路六：在办理公证手续后，至今扣押路志强的房产证和身份证，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不予归还；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套路七：经过几年的付利息总结计算，各项巧立名目的收费实际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年利息高达30%，与借款时所描述的大相径庭；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套路八：房产抵押金额180万元，实际借款100万元，抵押价值与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实际收到金额相差甚远。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套路九：明修栈道暗度陈仓！一面收取高额利息另外一面逃避企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业税收和个人所得税！</w:t>
      </w:r>
    </w:p>
    <w:p>
      <w:pPr>
        <w:bidi w:val="0"/>
        <w:numPr>
          <w:ilvl w:val="0"/>
          <w:numId w:val="0"/>
        </w:numPr>
        <w:jc w:val="both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这样的金融违法行为我们将会向区金融办和银监局进行举报，将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在市长信箱（网址：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http://www.tj.gov.cn/zmhd/szxx/szxxxz/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）、市金融局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（电话：022-58980006、网址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http://jrgz.tj.gpv.cn/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）、中国银行保监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会天津监督局（举报电话12378）、天津市商务局（举报电话12312、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网址：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http://ms.enorth.com.cn/zmljl/bumen/shangwu/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）、天津市税务局第一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稽查局（电话85624853，网址：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http://www.tjsat.gov.cn/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）、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天津市南开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区税务局（电话：022-27025110）、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天津市河北区税务局（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电话：</w:t>
      </w:r>
      <w:r>
        <w:rPr>
          <w:color w:val="auto"/>
          <w:position w:val="0"/>
          <w:sz w:val="28"/>
          <w:szCs w:val="28"/>
          <w:rFonts w:ascii="宋体" w:eastAsia="宋体" w:hAnsi="宋体" w:hint="default"/>
        </w:rPr>
        <w:t>022-24467055）、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天津市审计局（电话：</w:t>
      </w:r>
      <w:r>
        <w:rPr>
          <w:spacing w:val="0"/>
          <w:i w:val="0"/>
          <w:color w:val="000000" w:themeColor="text1"/>
          <w:position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022-23258100，网址：</w:t>
      </w:r>
      <w:r>
        <w:rPr>
          <w:spacing w:val="0"/>
          <w:i w:val="0"/>
          <w:color w:val="000000" w:themeColor="text1"/>
          <w:position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http://sj.tj.gov.cn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）、市民服务热线12345、便民服务热线88908890，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进行举报维权。</w:t>
      </w:r>
    </w:p>
    <w:p>
      <w:pPr>
        <w:bidi w:val="0"/>
        <w:numPr>
          <w:ilvl w:val="0"/>
          <w:numId w:val="0"/>
        </w:numPr>
        <w:jc w:val="lef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作为政府审批的一家金融机构，本应合法、合规经营，担负其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应负的社会责任。而事实上利用法律的手段实施着各种套路行为，骗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取群众的善良！利用人民群众在法律知识上的无知大发不义之财！这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就是偷取国家的蛀虫、喝着人血的魔鬼行为，请公安机关严厉查处，</w:t>
      </w: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为民做主！！！</w:t>
      </w:r>
    </w:p>
    <w:p>
      <w:pPr>
        <w:bidi w:val="0"/>
        <w:numPr>
          <w:ilvl w:val="0"/>
          <w:numId w:val="0"/>
        </w:numPr>
        <w:jc w:val="righ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报案人：杨红芹</w:t>
      </w:r>
    </w:p>
    <w:p>
      <w:pPr>
        <w:bidi w:val="0"/>
        <w:numPr>
          <w:ilvl w:val="0"/>
          <w:numId w:val="0"/>
        </w:numPr>
        <w:jc w:val="righ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 xml:space="preserve">        郭岳华</w:t>
      </w:r>
    </w:p>
    <w:p>
      <w:pPr>
        <w:bidi w:val="0"/>
        <w:numPr>
          <w:ilvl w:val="0"/>
          <w:numId w:val="0"/>
        </w:numPr>
        <w:jc w:val="right"/>
        <w:spacing w:lineRule="auto" w:line="360" w:before="0" w:after="160"/>
        <w:pageBreakBefore w:val="0"/>
        <w:ind w:right="0" w:firstLine="560"/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snapToGrid w:val="on"/>
        <w:autoSpaceDE w:val="1"/>
        <w:autoSpaceDN w:val="1"/>
      </w:pPr>
      <w:r>
        <w:rPr>
          <w:color w:val="000000" w:themeColor="text1"/>
          <w:position w:val="0"/>
          <w:sz w:val="28"/>
          <w:szCs w:val="28"/>
          <w14:textFill>
            <w14:solidFill>
              <w14:schemeClr w14:val="tx1"/>
            </w14:solidFill>
          </w14:textFill>
          <w:rFonts w:ascii="宋体" w:eastAsia="宋体" w:hAnsi="宋体" w:hint="default"/>
        </w:rPr>
        <w:t>2021年3月4日</w:t>
      </w:r>
    </w:p>
    <w:sectPr>
      <w:pgSz w:w="11906" w:h="16838"/>
      <w:pgMar w:top="1417" w:left="1814" w:bottom="1417" w:right="1814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等线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bordersDoNotSurroundFooter/>
  <w:compat w:val="0">
    <w:balanceSingleByteDoubleByteWidth/>
    <w:adjustLineHeightInTable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:stylePaneFormatFilter w:val="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="Times New Roman" w:eastAsia="Times New Roman" w:hAnsi="Times New Roman"/>
        <w:shd w:val="clear"/>
        <w:sz w:val="20"/>
        <w:szCs w:val="20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idowControl/>
      <w:wordWrap/>
    </w:pPr>
    <w:rPr>
      <w:rFonts w:ascii="Calibri" w:eastAsia="Times New Roman" w:hAnsi="Calibri"/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autoSpaceDE w:val="1"/>
      <w:autoSpaceDN w:val="1"/>
      <w:jc w:val="center"/>
      <w:widowControl/>
      <w:wordWrap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autoSpaceDE w:val="1"/>
      <w:autoSpaceDN w:val="1"/>
      <w:jc w:val="both"/>
      <w:widowControl/>
      <w:wordWrap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autoSpaceDE w:val="1"/>
      <w:autoSpaceDN w:val="1"/>
      <w:ind w:left="1000" w:hanging="400"/>
      <w:jc w:val="both"/>
      <w:widowControl/>
      <w:wordWrap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autoSpaceDE w:val="1"/>
      <w:autoSpaceDN w:val="1"/>
      <w:ind w:left="12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autoSpaceDE w:val="1"/>
      <w:autoSpaceDN w:val="1"/>
      <w:ind w:left="1400" w:hanging="400"/>
      <w:jc w:val="both"/>
      <w:widowControl/>
      <w:wordWrap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autoSpaceDE w:val="1"/>
      <w:autoSpaceDN w:val="1"/>
      <w:ind w:left="16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autoSpaceDE w:val="1"/>
      <w:autoSpaceDN w:val="1"/>
      <w:ind w:left="1800" w:hanging="400"/>
      <w:jc w:val="both"/>
      <w:widowControl/>
      <w:wordWrap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autoSpaceDE w:val="1"/>
      <w:autoSpaceDN w:val="1"/>
      <w:ind w:left="2000" w:hanging="400"/>
      <w:jc w:val="both"/>
      <w:widowControl/>
      <w:wordWrap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autoSpaceDE w:val="1"/>
      <w:autoSpaceDN w:val="1"/>
      <w:ind w:left="2200" w:hanging="400"/>
      <w:jc w:val="both"/>
      <w:widowControl/>
      <w:wordWrap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autoSpaceDE w:val="1"/>
      <w:autoSpaceDN w:val="1"/>
      <w:jc w:val="center"/>
      <w:widowControl/>
      <w:wordWrap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basedOn w:val="PO2"/>
    <w:qFormat/>
    <w:uiPriority w:val="20"/>
    <w:rPr>
      <w:b/>
      <w:shd w:val="clear"/>
      <w:sz w:val="20"/>
      <w:szCs w:val="20"/>
      <w:w w:val="100"/>
    </w:rPr>
  </w:style>
  <w:style w:styleId="PO21" w:type="paragraph">
    <w:name w:val="Quote"/>
    <w:link w:val="PO-1"/>
    <w:qFormat/>
    <w:uiPriority w:val="21"/>
    <w:pPr>
      <w:autoSpaceDE w:val="1"/>
      <w:autoSpaceDN w:val="1"/>
      <w:ind w:left="864" w:right="864" w:firstLine="0"/>
      <w:jc w:val="center"/>
      <w:widowControl/>
      <w:wordWrap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autoSpaceDE w:val="1"/>
      <w:autoSpaceDN w:val="1"/>
      <w:ind w:left="950" w:right="950" w:firstLine="0"/>
      <w:jc w:val="center"/>
      <w:widowControl/>
      <w:wordWrap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>
      <w:autoSpaceDE w:val="1"/>
      <w:autoSpaceDN w:val="1"/>
      <w:widowControl/>
      <w:wordWrap/>
    </w:pPr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autoSpaceDE w:val="1"/>
      <w:autoSpaceDN w:val="1"/>
      <w:ind w:left="425" w:firstLine="0"/>
      <w:jc w:val="both"/>
      <w:widowControl/>
      <w:wordWrap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autoSpaceDE w:val="1"/>
      <w:autoSpaceDN w:val="1"/>
      <w:ind w:left="1275" w:firstLine="0"/>
      <w:jc w:val="both"/>
      <w:widowControl/>
      <w:wordWrap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autoSpaceDE w:val="1"/>
      <w:autoSpaceDN w:val="1"/>
      <w:ind w:left="1700" w:firstLine="0"/>
      <w:jc w:val="both"/>
      <w:widowControl/>
      <w:wordWrap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autoSpaceDE w:val="1"/>
      <w:autoSpaceDN w:val="1"/>
      <w:ind w:left="2125" w:firstLine="0"/>
      <w:jc w:val="both"/>
      <w:widowControl/>
      <w:wordWrap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autoSpaceDE w:val="1"/>
      <w:autoSpaceDN w:val="1"/>
      <w:ind w:left="2550" w:firstLine="0"/>
      <w:jc w:val="both"/>
      <w:widowControl/>
      <w:wordWrap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autoSpaceDE w:val="1"/>
      <w:autoSpaceDN w:val="1"/>
      <w:ind w:left="2975" w:firstLine="0"/>
      <w:jc w:val="both"/>
      <w:widowControl/>
      <w:wordWrap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autoSpaceDE w:val="1"/>
      <w:autoSpaceDN w:val="1"/>
      <w:ind w:left="3400" w:firstLine="0"/>
      <w:jc w:val="both"/>
      <w:widowControl/>
      <w:wordWrap/>
    </w:pPr>
    <w:rPr>
      <w:shd w:val="clear"/>
      <w:sz w:val="21"/>
      <w:szCs w:val="21"/>
      <w:w w:val="100"/>
    </w:rPr>
  </w:style>
  <w:style w:styleId="PO151" w:type="paragraph">
    <w:name w:val="footer"/>
    <w:basedOn w:val="PO1"/>
    <w:link w:val="PO155"/>
    <w:qFormat/>
    <w:uiPriority w:val="151"/>
    <w:unhideWhenUsed/>
    <w:pPr>
      <w:autoSpaceDE w:val="1"/>
      <w:autoSpaceDN w:val="1"/>
      <w:tabs>
        <w:tab w:val="center" w:pos="4153"/>
        <w:tab w:val="right" w:pos="8306"/>
      </w:tabs>
      <w:widowControl/>
      <w:wordWrap/>
    </w:pPr>
    <w:rPr>
      <w:rFonts w:ascii="等线" w:eastAsia="等线" w:hAnsi="等线"/>
      <w:shd w:val="clear"/>
      <w:sz w:val="18"/>
      <w:szCs w:val="18"/>
      <w:w w:val="100"/>
    </w:rPr>
  </w:style>
  <w:style w:styleId="PO152" w:type="paragraph">
    <w:name w:val="header"/>
    <w:basedOn w:val="PO1"/>
    <w:link w:val="PO154"/>
    <w:qFormat/>
    <w:uiPriority w:val="152"/>
    <w:unhideWhenUsed/>
    <w:pPr>
      <w:autoSpaceDE w:val="1"/>
      <w:autoSpaceDN w:val="1"/>
      <w:jc w:val="center"/>
      <w:tabs>
        <w:tab w:val="center" w:pos="4153"/>
        <w:tab w:val="right" w:pos="8306"/>
      </w:tabs>
      <w:widowControl/>
      <w:wordWrap/>
    </w:pPr>
    <w:rPr>
      <w:rFonts w:ascii="等线" w:eastAsia="等线" w:hAnsi="等线"/>
      <w:shd w:val="clear"/>
      <w:sz w:val="18"/>
      <w:szCs w:val="18"/>
      <w:w w:val="100"/>
    </w:rPr>
  </w:style>
  <w:style w:styleId="PO153" w:type="character">
    <w:name w:val="Hyperlink"/>
    <w:basedOn w:val="PO2"/>
    <w:qFormat/>
    <w:uiPriority w:val="153"/>
    <w:unhideWhenUsed/>
    <w:rPr>
      <w:color w:val="0563C1" w:themeColor="hyperlink"/>
      <w:shd w:val="clear"/>
      <w:sz w:val="20"/>
      <w:szCs w:val="20"/>
      <w:u w:val="single"/>
      <w:w w:val="100"/>
    </w:rPr>
  </w:style>
  <w:style w:customStyle="1" w:styleId="PO154" w:type="character">
    <w:name w:val="页眉 字符"/>
    <w:basedOn w:val="PO2"/>
    <w:link w:val="PO152"/>
    <w:qFormat/>
    <w:uiPriority w:val="154"/>
    <w:rPr>
      <w:shd w:val="clear"/>
      <w:sz w:val="18"/>
      <w:szCs w:val="18"/>
      <w:w w:val="100"/>
    </w:rPr>
  </w:style>
  <w:style w:customStyle="1" w:styleId="PO155" w:type="character">
    <w:name w:val="页脚 字符"/>
    <w:basedOn w:val="PO2"/>
    <w:link w:val="PO151"/>
    <w:qFormat/>
    <w:uiPriority w:val="155"/>
    <w:rPr>
      <w:shd w:val="clear"/>
      <w:sz w:val="18"/>
      <w:szCs w:val="18"/>
      <w:w w:val="100"/>
    </w:rPr>
  </w:style>
  <w:style w:customStyle="1" w:styleId="PO156" w:type="character">
    <w:name w:val="Unresolved Mention"/>
    <w:basedOn w:val="PO2"/>
    <w:qFormat/>
    <w:uiPriority w:val="156"/>
    <w:semiHidden/>
    <w:unhideWhenUsed/>
    <w:rPr>
      <w:color w:val="605E5C"/>
      <w:shd w:val="clear" w:color="000000" w:fill="E1DFDD"/>
      <w:sz w:val="20"/>
      <w:szCs w:val="2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16</Lines>
  <LinksUpToDate>false</LinksUpToDate>
  <Pages>5</Pages>
  <Paragraphs>4</Paragraphs>
  <Words>348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郭 罗华</dc:creator>
  <cp:lastModifiedBy/>
  <dcterms:modified xsi:type="dcterms:W3CDTF">2021-03-04T04:30:03Z</dcterms:modified>
</cp:coreProperties>
</file>